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right"/>
        <w:rPr/>
      </w:pPr>
      <w:r w:rsidDel="00000000" w:rsidR="00000000" w:rsidRPr="00000000">
        <w:rPr>
          <w:rtl w:val="0"/>
        </w:rPr>
        <w:t xml:space="preserve">Kraków, 30.03.2021 r.</w:t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Co wspólnego mają gry z biznesem i edukacją? </w:t>
      </w:r>
    </w:p>
    <w:p w:rsidR="00000000" w:rsidDel="00000000" w:rsidP="00000000" w:rsidRDefault="00000000" w:rsidRPr="00000000" w14:paraId="00000003">
      <w:pPr>
        <w:spacing w:after="200" w:line="276" w:lineRule="auto"/>
        <w:jc w:val="both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Dzięki rozwojowi technologii gamingowych od kilku lat coraz popularniejsze staje się stosowanie mechanizmów znanych z gier w obszarach z nimi niezwiązanych. Grywalizacja może być ciekawym rozwiązaniem na trudności w utrzymywaniu skupienia i zaangażowania 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pracowników</w:t>
      </w:r>
      <w:r w:rsidDel="00000000" w:rsidR="00000000" w:rsidRPr="00000000">
        <w:rPr>
          <w:b w:val="1"/>
          <w:color w:val="222222"/>
          <w:highlight w:val="white"/>
          <w:rtl w:val="0"/>
        </w:rPr>
        <w:t xml:space="preserve">, klientów i – przede wszystkim – uczniów. </w:t>
      </w:r>
    </w:p>
    <w:p w:rsidR="00000000" w:rsidDel="00000000" w:rsidP="00000000" w:rsidRDefault="00000000" w:rsidRPr="00000000" w14:paraId="00000004">
      <w:pPr>
        <w:spacing w:after="200" w:line="276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Technologie gamingowe to obecnie jedna z najprężniej rozwijających się dziedzin technologii. Jej dynamiczny postęp przekłada się na chętne wykorzystywanie mechanizmów znanych z gier w innych obszarach, np. w biznesie i edukacji. Badania wykazują, że aż 92 proc. polskich użytkowników internetu gra w różnego typu gry</w:t>
      </w:r>
      <w:r w:rsidDel="00000000" w:rsidR="00000000" w:rsidRPr="00000000">
        <w:rPr>
          <w:color w:val="222222"/>
          <w:highlight w:val="white"/>
          <w:vertAlign w:val="superscript"/>
        </w:rPr>
        <w:footnoteReference w:customMarkFollows="0" w:id="0"/>
      </w:r>
      <w:r w:rsidDel="00000000" w:rsidR="00000000" w:rsidRPr="00000000">
        <w:rPr>
          <w:color w:val="222222"/>
          <w:highlight w:val="white"/>
          <w:rtl w:val="0"/>
        </w:rPr>
        <w:t xml:space="preserve">. Świadomość, że upodobanie do tego rodzaju rozrywki jest tak powszechne, stwarza wiele możliwości dla osób zajmujących się wdrażaniem strategii opartych na grywalizacji. </w:t>
      </w:r>
    </w:p>
    <w:p w:rsidR="00000000" w:rsidDel="00000000" w:rsidP="00000000" w:rsidRDefault="00000000" w:rsidRPr="00000000" w14:paraId="00000005">
      <w:pPr>
        <w:spacing w:after="200" w:line="276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Grywalizacja (ang. 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gamifica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tion</w:t>
      </w:r>
      <w:r w:rsidDel="00000000" w:rsidR="00000000" w:rsidRPr="00000000">
        <w:rPr>
          <w:color w:val="222222"/>
          <w:highlight w:val="white"/>
          <w:rtl w:val="0"/>
        </w:rPr>
        <w:t xml:space="preserve">) polega na dodawaniu segmentów mechaniki gry do dziedzin z nią niezwiązanych. Chętnie wykorzystuje się takie elementy, jak: wyznaczone cele do osiągnięcia i zadania do wykonania, przyznawane punkty, rywalizacja indywidualna i zespołowa, odznaki, nagrody, poziomy trudności. Oprócz strukturalnych składników gier, w </w:t>
      </w:r>
      <w:r w:rsidDel="00000000" w:rsidR="00000000" w:rsidRPr="00000000">
        <w:rPr>
          <w:color w:val="222222"/>
          <w:highlight w:val="white"/>
          <w:rtl w:val="0"/>
        </w:rPr>
        <w:t xml:space="preserve">zgrywalizowanych</w:t>
      </w:r>
      <w:r w:rsidDel="00000000" w:rsidR="00000000" w:rsidRPr="00000000">
        <w:rPr>
          <w:color w:val="222222"/>
          <w:highlight w:val="white"/>
          <w:rtl w:val="0"/>
        </w:rPr>
        <w:t xml:space="preserve"> rozwiązaniach nie może zabraknąć pozytywnych emocji i dreszczyku ekscytacji. Dlatego równie ważne jest stworzenie interesującej fabuły i bohatera, najlepiej takiego, którego można spersonalizować i, w efekcie, utożsamić się z nim i go polubić.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76" w:lineRule="auto"/>
        <w:jc w:val="both"/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Psychologiczne aspekty gry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76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Chęć zabawy i rywalizacji towarzyszą ludzkości już od czasów starożytnych. Gra to część naszej kultury, która swoje początki ma jeszcze w rytuałach i obrzędach, zazwyczaj związanych z przejściem w kolejny etap życia. Z punktu widzenia antropologii kultury to także sposób na zdobycie wiedzy czy wypróbowanie charakteru. – 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Obecnie gry </w:t>
      </w:r>
      <w:r w:rsidDel="00000000" w:rsidR="00000000" w:rsidRPr="00000000">
        <w:rPr>
          <w:i w:val="1"/>
          <w:color w:val="222222"/>
          <w:rtl w:val="0"/>
        </w:rPr>
        <w:t xml:space="preserve">rozwijają 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już nieco inne umiejętności, takie jak szybkie reagowanie, kreatywność, rozwiązywanie problemów, taktyczne i strategiczne 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myślenie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. Te zespołowe z kolei </w:t>
      </w:r>
      <w:r w:rsidDel="00000000" w:rsidR="00000000" w:rsidRPr="00000000">
        <w:rPr>
          <w:i w:val="1"/>
          <w:color w:val="222222"/>
          <w:rtl w:val="0"/>
        </w:rPr>
        <w:t xml:space="preserve">doskonalą</w:t>
      </w:r>
      <w:r w:rsidDel="00000000" w:rsidR="00000000" w:rsidRPr="00000000">
        <w:rPr>
          <w:i w:val="1"/>
          <w:color w:val="222222"/>
          <w:rtl w:val="0"/>
        </w:rPr>
        <w:t xml:space="preserve"> 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zdolności komunikacyjne i interpersonalne. Choć gry kojarzą się zwykle z 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dziecinną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, beztroską zabawą, można zauważyć, że zabawy te to często obraz społeczeństwa w mikroskali. Dzieci szlifują wspomniane umiejętności, negocjują przyjmowane role, rozdzielają obowiązki i funkcje, przestrzegają zasad lub modyfikują je i ustalają własne </w:t>
      </w:r>
      <w:r w:rsidDel="00000000" w:rsidR="00000000" w:rsidRPr="00000000">
        <w:rPr>
          <w:color w:val="222222"/>
          <w:highlight w:val="white"/>
          <w:rtl w:val="0"/>
        </w:rPr>
        <w:t xml:space="preserve">– mówi Anna Trawka, pedagożka i ekspertka Novakid, platformy online do nauki języka angielskiego dla dzieci.</w:t>
      </w:r>
    </w:p>
    <w:p w:rsidR="00000000" w:rsidDel="00000000" w:rsidP="00000000" w:rsidRDefault="00000000" w:rsidRPr="00000000" w14:paraId="00000008">
      <w:pPr>
        <w:spacing w:after="200" w:line="276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Wybór i preferencje gry mówią nam też wiele o osobowości grającego. Brytyjski profesor Richard Bartle stworzył i opracował typologię graczy</w:t>
      </w:r>
      <w:r w:rsidDel="00000000" w:rsidR="00000000" w:rsidRPr="00000000">
        <w:rPr>
          <w:color w:val="222222"/>
          <w:highlight w:val="white"/>
          <w:vertAlign w:val="superscript"/>
        </w:rPr>
        <w:footnoteReference w:customMarkFollows="0" w:id="1"/>
      </w:r>
      <w:r w:rsidDel="00000000" w:rsidR="00000000" w:rsidRPr="00000000">
        <w:rPr>
          <w:color w:val="222222"/>
          <w:highlight w:val="white"/>
          <w:rtl w:val="0"/>
        </w:rPr>
        <w:t xml:space="preserve">, w której wyróżnia: odkrywców nastawionych na eksplorację samej gry (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explorers)</w:t>
      </w:r>
      <w:r w:rsidDel="00000000" w:rsidR="00000000" w:rsidRPr="00000000">
        <w:rPr>
          <w:color w:val="222222"/>
          <w:highlight w:val="white"/>
          <w:rtl w:val="0"/>
        </w:rPr>
        <w:t xml:space="preserve">, zdobywców skupionych na punktach i wyzwaniach (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achievers)</w:t>
      </w:r>
      <w:r w:rsidDel="00000000" w:rsidR="00000000" w:rsidRPr="00000000">
        <w:rPr>
          <w:color w:val="222222"/>
          <w:highlight w:val="white"/>
          <w:rtl w:val="0"/>
        </w:rPr>
        <w:t xml:space="preserve">, konkurujących i dominujących zabójców (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killers)</w:t>
      </w:r>
      <w:r w:rsidDel="00000000" w:rsidR="00000000" w:rsidRPr="00000000">
        <w:rPr>
          <w:color w:val="222222"/>
          <w:highlight w:val="white"/>
          <w:rtl w:val="0"/>
        </w:rPr>
        <w:t xml:space="preserve"> i cieszących się wspólnie </w:t>
      </w:r>
      <w:r w:rsidDel="00000000" w:rsidR="00000000" w:rsidRPr="00000000">
        <w:rPr>
          <w:color w:val="222222"/>
          <w:highlight w:val="white"/>
          <w:rtl w:val="0"/>
        </w:rPr>
        <w:t xml:space="preserve">spędzanym</w:t>
      </w:r>
      <w:r w:rsidDel="00000000" w:rsidR="00000000" w:rsidRPr="00000000">
        <w:rPr>
          <w:color w:val="222222"/>
          <w:highlight w:val="white"/>
          <w:rtl w:val="0"/>
        </w:rPr>
        <w:t xml:space="preserve"> czasem ze znajomymi </w:t>
      </w:r>
      <w:r w:rsidDel="00000000" w:rsidR="00000000" w:rsidRPr="00000000">
        <w:rPr>
          <w:color w:val="222222"/>
          <w:highlight w:val="white"/>
          <w:rtl w:val="0"/>
        </w:rPr>
        <w:t xml:space="preserve">socjalizatorów</w:t>
      </w:r>
      <w:r w:rsidDel="00000000" w:rsidR="00000000" w:rsidRPr="00000000">
        <w:rPr>
          <w:color w:val="222222"/>
          <w:highlight w:val="white"/>
          <w:rtl w:val="0"/>
        </w:rPr>
        <w:t xml:space="preserve"> (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socializers</w:t>
      </w:r>
      <w:r w:rsidDel="00000000" w:rsidR="00000000" w:rsidRPr="00000000">
        <w:rPr>
          <w:color w:val="222222"/>
          <w:highlight w:val="white"/>
          <w:rtl w:val="0"/>
        </w:rPr>
        <w:t xml:space="preserve">)</w:t>
      </w:r>
      <w:r w:rsidDel="00000000" w:rsidR="00000000" w:rsidRPr="00000000">
        <w:rPr>
          <w:color w:val="222222"/>
          <w:highlight w:val="white"/>
          <w:rtl w:val="0"/>
        </w:rPr>
        <w:t xml:space="preserve">. Każdy z graczy wybiera zwykle taką grę, która zaspok</w:t>
      </w:r>
      <w:r w:rsidDel="00000000" w:rsidR="00000000" w:rsidRPr="00000000">
        <w:rPr>
          <w:color w:val="222222"/>
          <w:highlight w:val="white"/>
          <w:rtl w:val="0"/>
        </w:rPr>
        <w:t xml:space="preserve">aja</w:t>
      </w:r>
      <w:r w:rsidDel="00000000" w:rsidR="00000000" w:rsidRPr="00000000">
        <w:rPr>
          <w:color w:val="222222"/>
          <w:highlight w:val="white"/>
          <w:rtl w:val="0"/>
        </w:rPr>
        <w:t xml:space="preserve"> jego potrzeby w największym </w:t>
      </w:r>
      <w:r w:rsidDel="00000000" w:rsidR="00000000" w:rsidRPr="00000000">
        <w:rPr>
          <w:color w:val="222222"/>
          <w:highlight w:val="white"/>
          <w:rtl w:val="0"/>
        </w:rPr>
        <w:t xml:space="preserve">stopniu.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76" w:lineRule="auto"/>
        <w:jc w:val="both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Grywalizacja dla biznesu</w:t>
      </w:r>
    </w:p>
    <w:p w:rsidR="00000000" w:rsidDel="00000000" w:rsidP="00000000" w:rsidRDefault="00000000" w:rsidRPr="00000000" w14:paraId="0000000A">
      <w:pPr>
        <w:spacing w:after="200" w:line="276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Metody zaczerpnięte z tworzenia gier są wdrażane w obszarach związanych z </w:t>
      </w:r>
      <w:r w:rsidDel="00000000" w:rsidR="00000000" w:rsidRPr="00000000">
        <w:rPr>
          <w:color w:val="222222"/>
          <w:highlight w:val="white"/>
          <w:rtl w:val="0"/>
        </w:rPr>
        <w:t xml:space="preserve">zarządzaniem</w:t>
      </w:r>
      <w:r w:rsidDel="00000000" w:rsidR="00000000" w:rsidRPr="00000000">
        <w:rPr>
          <w:color w:val="222222"/>
          <w:highlight w:val="white"/>
          <w:rtl w:val="0"/>
        </w:rPr>
        <w:t xml:space="preserve">, sprzedażą i IT. Wykorzystanie grywalizacji w biznesie ma na celu zwiększenie zaangażowania potencjalnych klientów i zmotywowanie pracowników firmy. Powstają m.in. rozbudowane programy lojalnościowe, które w dobie szumu marketingowego mają za zadanie zaangażować klienta i sprawić, by dany brand na stałe stał się jego pierwszym wyborem, mimo szerokiej, podobnej oferty konkurencji. Marki kreują takie doświadczenie, które budzi przyjemność i zapewnia rozrywkę, a także daje możliwość wspólnej zabawy ze znajomymi. Stworzenie </w:t>
      </w:r>
      <w:r w:rsidDel="00000000" w:rsidR="00000000" w:rsidRPr="00000000">
        <w:rPr>
          <w:color w:val="222222"/>
          <w:highlight w:val="white"/>
          <w:rtl w:val="0"/>
        </w:rPr>
        <w:t xml:space="preserve">zgrywalizowanej</w:t>
      </w:r>
      <w:r w:rsidDel="00000000" w:rsidR="00000000" w:rsidRPr="00000000">
        <w:rPr>
          <w:color w:val="222222"/>
          <w:highlight w:val="white"/>
          <w:rtl w:val="0"/>
        </w:rPr>
        <w:t xml:space="preserve"> platformy wymaga zaprojektowania ścieżki użytkownika w oparciu o konkretnego bohatera, fabułę i atrakcyjne</w:t>
      </w:r>
      <w:r w:rsidDel="00000000" w:rsidR="00000000" w:rsidRPr="00000000">
        <w:rPr>
          <w:color w:val="222222"/>
          <w:rtl w:val="0"/>
        </w:rPr>
        <w:t xml:space="preserve"> questy</w:t>
      </w:r>
      <w:r w:rsidDel="00000000" w:rsidR="00000000" w:rsidRPr="00000000">
        <w:rPr>
          <w:color w:val="222222"/>
          <w:rtl w:val="0"/>
        </w:rPr>
        <w:t xml:space="preserve"> (</w:t>
      </w:r>
      <w:r w:rsidDel="00000000" w:rsidR="00000000" w:rsidRPr="00000000">
        <w:rPr>
          <w:color w:val="222222"/>
          <w:highlight w:val="white"/>
          <w:rtl w:val="0"/>
        </w:rPr>
        <w:t xml:space="preserve">zadania)</w:t>
      </w:r>
      <w:r w:rsidDel="00000000" w:rsidR="00000000" w:rsidRPr="00000000">
        <w:rPr>
          <w:color w:val="222222"/>
          <w:highlight w:val="white"/>
          <w:rtl w:val="0"/>
        </w:rPr>
        <w:t xml:space="preserve">, za których zrealizowanie klient otrzyma odpowiednią gratyfikację w postaci punktów, odznak i nagród, mających ekwiwalent w rzeczywistości. </w:t>
      </w:r>
    </w:p>
    <w:p w:rsidR="00000000" w:rsidDel="00000000" w:rsidP="00000000" w:rsidRDefault="00000000" w:rsidRPr="00000000" w14:paraId="0000000B">
      <w:pPr>
        <w:spacing w:after="200" w:line="276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Zgrywalizowane rozwiązania stosuje się również w branży HR. Już na etapie rekrutacji można przeprowadzić selekcję kandydatów dzięki skomplikowanym zadaniom, opartym o mechanizmy zaczerpnięte z gier. Są to często ekscytujące wyzwania dla kandydatów na specjalistów w firmach IT, które mogą sprawdzić zarówno twarde kompetencje potrzebne na danym stanowisku, jak i umiejętności miękkie, jak praca w grupie. Z kolei bardzo rozbudowane platformy dla zatrudnionych pracowników służą integrowaniu zespołu i wzajemnej motywacji. Wykorzystuje się je m.in. przy szkoleniach czy wdrażaniu zmian w firmie. Są też istotnym elementem długofalowej strategii </w:t>
      </w:r>
      <w:r w:rsidDel="00000000" w:rsidR="00000000" w:rsidRPr="00000000">
        <w:rPr>
          <w:i w:val="1"/>
          <w:color w:val="222222"/>
          <w:highlight w:val="white"/>
          <w:rtl w:val="0"/>
        </w:rPr>
        <w:t xml:space="preserve">employer branding</w:t>
      </w:r>
      <w:r w:rsidDel="00000000" w:rsidR="00000000" w:rsidRPr="00000000">
        <w:rPr>
          <w:color w:val="222222"/>
          <w:highlight w:val="white"/>
          <w:rtl w:val="0"/>
        </w:rPr>
        <w:t xml:space="preserve"> – komunikują wartości organizacji i wywołują pozytywne emocje. </w:t>
      </w:r>
    </w:p>
    <w:p w:rsidR="00000000" w:rsidDel="00000000" w:rsidP="00000000" w:rsidRDefault="00000000" w:rsidRPr="00000000" w14:paraId="0000000C">
      <w:pPr>
        <w:spacing w:after="200" w:line="276" w:lineRule="auto"/>
        <w:jc w:val="both"/>
        <w:rPr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Wciągająca nauka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76" w:lineRule="auto"/>
        <w:jc w:val="both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Jak połączyć przyjemne z pożytecznym i uczyć się bez tego żmudnego wysiłku, który zazwyczaj towarzyszy bezmyślnemu wkuwaniu definicji i słówek? Obecnie na rynku mamy bogatą ofertę aplikacji i platform edukacyjnych, opartych o grywalizację. Można np. uczyć się języków obcych, nauk ścisłych, planować swój rozwój osobisty. Twórcy rozwiązań tak dozują w różnych </w:t>
      </w:r>
      <w:r w:rsidDel="00000000" w:rsidR="00000000" w:rsidRPr="00000000">
        <w:rPr>
          <w:color w:val="222222"/>
          <w:highlight w:val="white"/>
          <w:rtl w:val="0"/>
        </w:rPr>
        <w:t xml:space="preserve">proporcjach elementy ryzyka, ciekawości i współzawodnictwa</w:t>
      </w:r>
      <w:r w:rsidDel="00000000" w:rsidR="00000000" w:rsidRPr="00000000">
        <w:rPr>
          <w:color w:val="222222"/>
          <w:highlight w:val="white"/>
          <w:rtl w:val="0"/>
        </w:rPr>
        <w:t xml:space="preserve">, by dany materiał mogła przyswoić jak najszersza grupa potencjalnych użytkowników. Skonstruowane w ten sposób programy nauczania sprawiają, że łatwiej jest utrzymać naszą uwagę i zaangażowanie. Z pasją zdobywamy kolejne odznaki, pokonujemy poziomy, wykonujemy polecenia i – mimochodem – </w:t>
      </w:r>
      <w:r w:rsidDel="00000000" w:rsidR="00000000" w:rsidRPr="00000000">
        <w:rPr>
          <w:color w:val="222222"/>
          <w:highlight w:val="white"/>
          <w:rtl w:val="0"/>
        </w:rPr>
        <w:t xml:space="preserve">przyswajamy</w:t>
      </w:r>
      <w:r w:rsidDel="00000000" w:rsidR="00000000" w:rsidRPr="00000000">
        <w:rPr>
          <w:color w:val="222222"/>
          <w:highlight w:val="white"/>
          <w:rtl w:val="0"/>
        </w:rPr>
        <w:t xml:space="preserve"> nową wiedzę. Pochłonięci grą-nauką, nie odczuwamy zmęczenia, typowego dla mechanicznego uczenia się. </w:t>
      </w:r>
    </w:p>
    <w:p w:rsidR="00000000" w:rsidDel="00000000" w:rsidP="00000000" w:rsidRDefault="00000000" w:rsidRPr="00000000" w14:paraId="0000000E">
      <w:pPr>
        <w:spacing w:after="200" w:line="276" w:lineRule="auto"/>
        <w:jc w:val="both"/>
        <w:rPr>
          <w:color w:val="222222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Grywalizacja w edukacji równie dobrze sprawdza się w nauczaniu </w:t>
      </w:r>
      <w:r w:rsidDel="00000000" w:rsidR="00000000" w:rsidRPr="00000000">
        <w:rPr>
          <w:color w:val="222222"/>
          <w:highlight w:val="white"/>
          <w:rtl w:val="0"/>
        </w:rPr>
        <w:t xml:space="preserve">najmłodszych</w:t>
      </w:r>
      <w:r w:rsidDel="00000000" w:rsidR="00000000" w:rsidRPr="00000000">
        <w:rPr>
          <w:color w:val="222222"/>
          <w:highlight w:val="white"/>
          <w:rtl w:val="0"/>
        </w:rPr>
        <w:t xml:space="preserve">. Dzieci, pochłonięte ekscytującą grą, skrojoną pod ich zdolności manualne i zgodne z ich preferencjami w designie, jednocześnie uczą się i zdobywają wiedzę. </w:t>
      </w:r>
      <w:r w:rsidDel="00000000" w:rsidR="00000000" w:rsidRPr="00000000">
        <w:rPr>
          <w:color w:val="222222"/>
          <w:rtl w:val="0"/>
        </w:rPr>
        <w:t xml:space="preserve">– </w:t>
      </w:r>
      <w:r w:rsidDel="00000000" w:rsidR="00000000" w:rsidRPr="00000000">
        <w:rPr>
          <w:i w:val="1"/>
          <w:color w:val="222222"/>
          <w:rtl w:val="0"/>
        </w:rPr>
        <w:t xml:space="preserve">Dzieci to najbardziej wymagająca grupa, jeśli chodzi o utrzymanie koncentracji na ćwiczeniu – psychologowie wskazują na limit 25 min., podczas których najmłodsi potrafią się skupić. Dlatego też warto postawić na efektywne, angażujące metody nauczania, takie jak interaktywne gry, quizy i questy do wykonania, oczywiście z odpowiednią gratyfikacją w postaci odznak czy punktów. Grywalizacja powoduje, że dzieci naturalnie i bez wysiłku przyswajają wiedzę, którą w innych warunkach </w:t>
      </w:r>
      <w:r w:rsidDel="00000000" w:rsidR="00000000" w:rsidRPr="00000000">
        <w:rPr>
          <w:i w:val="1"/>
          <w:color w:val="222222"/>
          <w:rtl w:val="0"/>
        </w:rPr>
        <w:t xml:space="preserve">zdobyłyby</w:t>
      </w:r>
      <w:r w:rsidDel="00000000" w:rsidR="00000000" w:rsidRPr="00000000">
        <w:rPr>
          <w:i w:val="1"/>
          <w:color w:val="222222"/>
          <w:rtl w:val="0"/>
        </w:rPr>
        <w:t xml:space="preserve"> z większym nakładem pracy i czasu </w:t>
      </w:r>
      <w:r w:rsidDel="00000000" w:rsidR="00000000" w:rsidRPr="00000000">
        <w:rPr>
          <w:color w:val="222222"/>
          <w:rtl w:val="0"/>
        </w:rPr>
        <w:t xml:space="preserve">– mówi Max Azarov, CEO Novakid, internetowej szkoły języka angielskiego dla dzieci. </w:t>
      </w:r>
    </w:p>
    <w:p w:rsidR="00000000" w:rsidDel="00000000" w:rsidP="00000000" w:rsidRDefault="00000000" w:rsidRPr="00000000" w14:paraId="0000000F">
      <w:pPr>
        <w:spacing w:after="200" w:line="276" w:lineRule="auto"/>
        <w:jc w:val="both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Postępująca digitalizacja życia społecznego, w tym edukacji, może być szansą na rozwój kompetencji i nowych umiejętności. Programy, bazujące na grywalizacji, ułatwiają naukę języków obcych, usprawniają pracę zespołową i uczą technik zarządzania. To rozwiązanie dla wszystkich, którzy chcą, by edukacja sprawiała im frajdę.</w:t>
      </w:r>
    </w:p>
    <w:p w:rsidR="00000000" w:rsidDel="00000000" w:rsidP="00000000" w:rsidRDefault="00000000" w:rsidRPr="00000000" w14:paraId="00000010">
      <w:pPr>
        <w:spacing w:after="200" w:line="276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Novakid to internetowa platforma edukacyjna ESL (English as a Second Language – angielski jako drugi język), oferująca dzieciom w wieku 4-12 lat indywidualne lekcje z certyfikowanymi native speakerami. Szkoła Novakid jest zarejestrowana w USA i posiada uczniów na całym świecie. Podstawą edukacji na platformie jest komunikacja i metoda pełnego fizycznego reagowania (tzw. total physical response), polegająca na użyciu gestów i mimiki i odpowiadająca tym samym przyswajaniu języka ojczystego. Proces nauczania wzbogacony jest m.in. o wirtualną rzeczywistość i technologie gamingowe. Platforma wykorzystuje też naukę maszynową do tworzenia i personalizacji lekcji dla każdego ucznia. </w:t>
      </w:r>
    </w:p>
    <w:p w:rsidR="00000000" w:rsidDel="00000000" w:rsidP="00000000" w:rsidRDefault="00000000" w:rsidRPr="00000000" w14:paraId="00000011">
      <w:pPr>
        <w:spacing w:after="200"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Kontakt dla mediów:</w:t>
      </w:r>
    </w:p>
    <w:p w:rsidR="00000000" w:rsidDel="00000000" w:rsidP="00000000" w:rsidRDefault="00000000" w:rsidRPr="00000000" w14:paraId="00000012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Karolina Kapusta</w:t>
        <w:br w:type="textWrapping"/>
        <w:t xml:space="preserve">Tel.: + 48 796 996 211</w:t>
        <w:br w:type="textWrapping"/>
        <w:t xml:space="preserve">E-mail: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karolina.kapusta@goodonepr.pl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="276" w:lineRule="auto"/>
        <w:rPr/>
      </w:pPr>
      <w:r w:rsidDel="00000000" w:rsidR="00000000" w:rsidRPr="00000000">
        <w:rPr>
          <w:rtl w:val="0"/>
        </w:rPr>
        <w:t xml:space="preserve">Martyna Dziopak</w:t>
        <w:br w:type="textWrapping"/>
        <w:t xml:space="preserve">Tel.: + 48 739 060 588</w:t>
        <w:br w:type="textWrapping"/>
        <w:t xml:space="preserve">E-mail: </w:t>
      </w:r>
      <w:hyperlink r:id="rId9">
        <w:r w:rsidDel="00000000" w:rsidR="00000000" w:rsidRPr="00000000">
          <w:rPr>
            <w:color w:val="0000ff"/>
            <w:u w:val="single"/>
            <w:rtl w:val="0"/>
          </w:rPr>
          <w:t xml:space="preserve">martyna.dziopak@goodonepr.pl</w:t>
        </w:r>
      </w:hyperlink>
      <w:r w:rsidDel="00000000" w:rsidR="00000000" w:rsidRPr="00000000">
        <w:rPr>
          <w:rtl w:val="0"/>
        </w:rPr>
        <w:t xml:space="preserve"> </w:t>
      </w:r>
    </w:p>
    <w:sectPr>
      <w:headerReference r:id="rId10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1">
    <w:p w:rsidR="00000000" w:rsidDel="00000000" w:rsidP="00000000" w:rsidRDefault="00000000" w:rsidRPr="00000000" w14:paraId="00000015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https://www.interaction-design.org/literature/article/bartle-s-player-types-for-gamification</w:t>
      </w:r>
    </w:p>
  </w:footnote>
  <w:footnote w:id="0">
    <w:p w:rsidR="00000000" w:rsidDel="00000000" w:rsidP="00000000" w:rsidRDefault="00000000" w:rsidRPr="00000000" w14:paraId="00000016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https://interaktywnie.com/biznes/artykuly/wirtualne-swiaty/92-procent-polskich-internautow-gra-panowie-na-pc-panie-na-smartfonach-251541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36"/>
        <w:szCs w:val="36"/>
        <w:u w:val="none"/>
        <w:shd w:fill="auto" w:val="clear"/>
        <w:vertAlign w:val="baseline"/>
      </w:rPr>
      <w:drawing>
        <wp:inline distB="0" distT="0" distL="0" distR="0">
          <wp:extent cx="2097972" cy="752897"/>
          <wp:effectExtent b="0" l="0" r="0" t="0"/>
          <wp:docPr descr="C:\Users\GoodOnePR\Desktop\Novakid_logo.png" id="5" name="image1.png"/>
          <a:graphic>
            <a:graphicData uri="http://schemas.openxmlformats.org/drawingml/2006/picture">
              <pic:pic>
                <pic:nvPicPr>
                  <pic:cNvPr descr="C:\Users\GoodOnePR\Desktop\Novakid_logo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97972" cy="75289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4">
    <w:name w:val="heading 4"/>
    <w:basedOn w:val="Normalny"/>
    <w:link w:val="Nagwek4Znak"/>
    <w:uiPriority w:val="9"/>
    <w:qFormat w:val="1"/>
    <w:rsid w:val="00961437"/>
    <w:pPr>
      <w:spacing w:after="100" w:afterAutospacing="1" w:before="100" w:beforeAutospacing="1" w:line="240" w:lineRule="auto"/>
      <w:outlineLvl w:val="3"/>
    </w:pPr>
    <w:rPr>
      <w:rFonts w:ascii="Times New Roman" w:cs="Times New Roman" w:eastAsia="Times New Roman" w:hAnsi="Times New Roman"/>
      <w:b w:val="1"/>
      <w:bCs w:val="1"/>
      <w:sz w:val="24"/>
      <w:szCs w:val="24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Akapitzlist">
    <w:name w:val="List Paragraph"/>
    <w:basedOn w:val="Normalny"/>
    <w:uiPriority w:val="34"/>
    <w:qFormat w:val="1"/>
    <w:rsid w:val="00EA6849"/>
    <w:pPr>
      <w:widowControl w:val="0"/>
      <w:autoSpaceDE w:val="0"/>
      <w:autoSpaceDN w:val="0"/>
      <w:adjustRightInd w:val="0"/>
      <w:spacing w:after="0" w:line="240" w:lineRule="auto"/>
      <w:ind w:left="720"/>
      <w:contextualSpacing w:val="1"/>
    </w:pPr>
    <w:rPr>
      <w:rFonts w:ascii="Verdana" w:cs="Times New Roman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 w:val="1"/>
    <w:rsid w:val="00EA6849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EA6849"/>
  </w:style>
  <w:style w:type="paragraph" w:styleId="Stopka">
    <w:name w:val="footer"/>
    <w:basedOn w:val="Normalny"/>
    <w:link w:val="StopkaZnak"/>
    <w:uiPriority w:val="99"/>
    <w:unhideWhenUsed w:val="1"/>
    <w:rsid w:val="00EA6849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EA6849"/>
  </w:style>
  <w:style w:type="paragraph" w:styleId="Tekstprzypisudolnego">
    <w:name w:val="footnote text"/>
    <w:basedOn w:val="Normalny"/>
    <w:link w:val="TekstprzypisudolnegoZnak"/>
    <w:uiPriority w:val="99"/>
    <w:semiHidden w:val="1"/>
    <w:unhideWhenUsed w:val="1"/>
    <w:rsid w:val="00961437"/>
    <w:pPr>
      <w:spacing w:after="0" w:line="240" w:lineRule="auto"/>
    </w:pPr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uiPriority w:val="99"/>
    <w:semiHidden w:val="1"/>
    <w:rsid w:val="009614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 w:val="1"/>
    <w:unhideWhenUsed w:val="1"/>
    <w:rsid w:val="00961437"/>
    <w:rPr>
      <w:vertAlign w:val="superscript"/>
    </w:rPr>
  </w:style>
  <w:style w:type="character" w:styleId="Hipercze">
    <w:name w:val="Hyperlink"/>
    <w:basedOn w:val="Domylnaczcionkaakapitu"/>
    <w:uiPriority w:val="99"/>
    <w:unhideWhenUsed w:val="1"/>
    <w:rsid w:val="00961437"/>
    <w:rPr>
      <w:color w:val="0000ff"/>
      <w:u w:val="single"/>
    </w:rPr>
  </w:style>
  <w:style w:type="character" w:styleId="Nagwek4Znak" w:customStyle="1">
    <w:name w:val="Nagłówek 4 Znak"/>
    <w:basedOn w:val="Domylnaczcionkaakapitu"/>
    <w:link w:val="Nagwek4"/>
    <w:uiPriority w:val="9"/>
    <w:rsid w:val="00961437"/>
    <w:rPr>
      <w:rFonts w:ascii="Times New Roman" w:cs="Times New Roman" w:eastAsia="Times New Roman" w:hAnsi="Times New Roman"/>
      <w:b w:val="1"/>
      <w:bCs w:val="1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 w:val="1"/>
    <w:rsid w:val="00961437"/>
    <w:rPr>
      <w:b w:val="1"/>
      <w:bCs w:val="1"/>
    </w:rPr>
  </w:style>
  <w:style w:type="character" w:styleId="6qdm" w:customStyle="1">
    <w:name w:val="_6qdm"/>
    <w:basedOn w:val="Domylnaczcionkaakapitu"/>
    <w:rsid w:val="00961437"/>
  </w:style>
  <w:style w:type="character" w:styleId="textexposedshow" w:customStyle="1">
    <w:name w:val="text_exposed_show"/>
    <w:basedOn w:val="Domylnaczcionkaakapitu"/>
    <w:rsid w:val="00961437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8C7E3C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8C7E3C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header" Target="header1.xml"/><Relationship Id="rId9" Type="http://schemas.openxmlformats.org/officeDocument/2006/relationships/hyperlink" Target="mailto:martyna.dziopak@goodonepr.pl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mailto:karolina.kapusta@goodonepr.pl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aSGC6n+7QPK1914hiwI8rea3Zg==">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2020-05-26T07:55:00Z</dcterms:created>
  <dc:creator>GoodOnePR</dc:creator>
</cp:coreProperties>
</file>